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2982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Australia’s Privacy Act and Australian Privacy Principles </w:t>
      </w:r>
    </w:p>
    <w:p w14:paraId="4AFC4561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FAQs</w:t>
      </w:r>
    </w:p>
    <w:p w14:paraId="4AFE7C52" w14:textId="7D498183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Last Updated: </w:t>
      </w:r>
      <w:r w:rsidR="00386943">
        <w:rPr>
          <w:rFonts w:ascii="Calibri" w:hAnsi="Calibri" w:cs="Calibri"/>
          <w:sz w:val="22"/>
          <w:szCs w:val="22"/>
        </w:rPr>
        <w:t xml:space="preserve"> 11.26.2024</w:t>
      </w:r>
    </w:p>
    <w:p w14:paraId="48B52EAE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FF426B7" w14:textId="7D192534" w:rsidR="00AD2749" w:rsidRPr="00AD2749" w:rsidRDefault="00AD2749" w:rsidP="00AD274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D2749">
        <w:rPr>
          <w:rFonts w:ascii="Calibri" w:hAnsi="Calibri" w:cs="Calibri"/>
          <w:b/>
          <w:bCs/>
          <w:sz w:val="22"/>
          <w:szCs w:val="22"/>
        </w:rPr>
        <w:t>1. What is the Privacy Act and the APPs?</w:t>
      </w:r>
    </w:p>
    <w:p w14:paraId="747DF48C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The Privacy Act 1988 (</w:t>
      </w:r>
      <w:proofErr w:type="spellStart"/>
      <w:r w:rsidRPr="00AD2749">
        <w:rPr>
          <w:rFonts w:ascii="Calibri" w:hAnsi="Calibri" w:cs="Calibri"/>
          <w:sz w:val="22"/>
          <w:szCs w:val="22"/>
        </w:rPr>
        <w:t>Cth</w:t>
      </w:r>
      <w:proofErr w:type="spellEnd"/>
      <w:r w:rsidRPr="00AD2749">
        <w:rPr>
          <w:rFonts w:ascii="Calibri" w:hAnsi="Calibri" w:cs="Calibri"/>
          <w:sz w:val="22"/>
          <w:szCs w:val="22"/>
        </w:rPr>
        <w:t xml:space="preserve">) (Privacy Act) is Australia’s primary data protection law. The Privacy Act </w:t>
      </w:r>
    </w:p>
    <w:p w14:paraId="1F1B964C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contains the Australian Privacy Principles (APPs), which set out the main requirements in relation to </w:t>
      </w:r>
    </w:p>
    <w:p w14:paraId="0061A9C5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the collection, use, and disclosure of personal information in Australia. State and territory privacy laws </w:t>
      </w:r>
    </w:p>
    <w:p w14:paraId="3DBA9AF8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also apply. </w:t>
      </w:r>
    </w:p>
    <w:p w14:paraId="6C2A6949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AD802F9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The Privacy Act was most recently amended in December 2022 by the Privacy Legislation Amendment </w:t>
      </w:r>
    </w:p>
    <w:p w14:paraId="184AF8AC" w14:textId="26883AAA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(Enforcement and Other Measures) Act 2022 (</w:t>
      </w:r>
      <w:r w:rsidR="00BD0284">
        <w:rPr>
          <w:rFonts w:ascii="Calibri" w:hAnsi="Calibri" w:cs="Calibri"/>
          <w:sz w:val="22"/>
          <w:szCs w:val="22"/>
        </w:rPr>
        <w:t>“</w:t>
      </w:r>
      <w:r w:rsidRPr="00AD2749">
        <w:rPr>
          <w:rFonts w:ascii="Calibri" w:hAnsi="Calibri" w:cs="Calibri"/>
          <w:sz w:val="22"/>
          <w:szCs w:val="22"/>
        </w:rPr>
        <w:t>Amendment Act</w:t>
      </w:r>
      <w:r w:rsidR="00BD0284">
        <w:rPr>
          <w:rFonts w:ascii="Calibri" w:hAnsi="Calibri" w:cs="Calibri"/>
          <w:sz w:val="22"/>
          <w:szCs w:val="22"/>
        </w:rPr>
        <w:t>”</w:t>
      </w:r>
      <w:r w:rsidRPr="00AD2749">
        <w:rPr>
          <w:rFonts w:ascii="Calibri" w:hAnsi="Calibri" w:cs="Calibri"/>
          <w:sz w:val="22"/>
          <w:szCs w:val="22"/>
        </w:rPr>
        <w:t xml:space="preserve">), which introduced increased penalties for non-compliance, and expanded the scope of the Privacy Act’s extra-territorial application. </w:t>
      </w:r>
    </w:p>
    <w:p w14:paraId="3D853509" w14:textId="77777777" w:rsidR="0017453D" w:rsidRDefault="0017453D" w:rsidP="0017453D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866FA9C" w14:textId="44D514A1" w:rsidR="0017453D" w:rsidRDefault="0017453D" w:rsidP="0017453D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The Privacy Act is enforced and administered by the Office of the Australian Information </w:t>
      </w:r>
      <w:proofErr w:type="gramStart"/>
      <w:r w:rsidRPr="00AD2749">
        <w:rPr>
          <w:rFonts w:ascii="Calibri" w:hAnsi="Calibri" w:cs="Calibri"/>
          <w:sz w:val="22"/>
          <w:szCs w:val="22"/>
        </w:rPr>
        <w:t xml:space="preserve">Commissioner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>(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OAIC), a government agency which oversees compliance with the Privacy Act and is responsible for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 xml:space="preserve">investigating potential breaches of the Privacy Act (amongst other responsibilities). The OAIC </w:t>
      </w:r>
      <w:proofErr w:type="gramStart"/>
      <w:r w:rsidRPr="00AD2749">
        <w:rPr>
          <w:rFonts w:ascii="Calibri" w:hAnsi="Calibri" w:cs="Calibri"/>
          <w:sz w:val="22"/>
          <w:szCs w:val="22"/>
        </w:rPr>
        <w:t xml:space="preserve">also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>publishes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guidance documents to assist </w:t>
      </w:r>
      <w:proofErr w:type="spellStart"/>
      <w:r w:rsidRPr="00AD2749">
        <w:rPr>
          <w:rFonts w:ascii="Calibri" w:hAnsi="Calibri" w:cs="Calibri"/>
          <w:sz w:val="22"/>
          <w:szCs w:val="22"/>
        </w:rPr>
        <w:t>organisations</w:t>
      </w:r>
      <w:proofErr w:type="spellEnd"/>
      <w:r w:rsidRPr="00AD2749">
        <w:rPr>
          <w:rFonts w:ascii="Calibri" w:hAnsi="Calibri" w:cs="Calibri"/>
          <w:sz w:val="22"/>
          <w:szCs w:val="22"/>
        </w:rPr>
        <w:t xml:space="preserve"> with interpreting their obligations under the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 xml:space="preserve">Privacy Act and the APPs. </w:t>
      </w:r>
    </w:p>
    <w:p w14:paraId="5ADC447D" w14:textId="77777777" w:rsidR="00BD0284" w:rsidRDefault="00BD0284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7570A64" w14:textId="7FB49C07" w:rsidR="00BD0284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  <w:lang w:val="en-AU"/>
        </w:rPr>
      </w:pPr>
      <w:r w:rsidRPr="00AD2749">
        <w:rPr>
          <w:rFonts w:ascii="Calibri" w:hAnsi="Calibri" w:cs="Calibri"/>
          <w:sz w:val="22"/>
          <w:szCs w:val="22"/>
        </w:rPr>
        <w:t>The Privacy Act</w:t>
      </w:r>
      <w:r w:rsidR="00BD0284">
        <w:rPr>
          <w:rFonts w:ascii="Calibri" w:hAnsi="Calibri" w:cs="Calibri"/>
          <w:sz w:val="22"/>
          <w:szCs w:val="22"/>
        </w:rPr>
        <w:t xml:space="preserve"> including 7 other related </w:t>
      </w:r>
      <w:proofErr w:type="spellStart"/>
      <w:r w:rsidR="00BD0284">
        <w:rPr>
          <w:rFonts w:ascii="Calibri" w:hAnsi="Calibri" w:cs="Calibri"/>
          <w:sz w:val="22"/>
          <w:szCs w:val="22"/>
        </w:rPr>
        <w:t>lawsare</w:t>
      </w:r>
      <w:proofErr w:type="spellEnd"/>
      <w:r w:rsidRPr="00AD2749">
        <w:rPr>
          <w:rFonts w:ascii="Calibri" w:hAnsi="Calibri" w:cs="Calibri"/>
          <w:sz w:val="22"/>
          <w:szCs w:val="22"/>
        </w:rPr>
        <w:t xml:space="preserve"> also undergoing </w:t>
      </w:r>
      <w:r w:rsidR="00BD0284">
        <w:rPr>
          <w:rFonts w:ascii="Calibri" w:hAnsi="Calibri" w:cs="Calibri"/>
          <w:sz w:val="22"/>
          <w:szCs w:val="22"/>
        </w:rPr>
        <w:t xml:space="preserve">major amendments as a measure to protect the privacy of individuals </w:t>
      </w:r>
      <w:r w:rsidR="00BD0284" w:rsidRPr="00BD0284">
        <w:rPr>
          <w:rFonts w:ascii="Calibri" w:hAnsi="Calibri" w:cs="Calibri"/>
          <w:sz w:val="22"/>
          <w:szCs w:val="22"/>
        </w:rPr>
        <w:t>with respect to their personal information, including expanding the Information Commissioner’s powers, facilitating information sharing in emergency situations or following eligible data breaches, requiring the development of a Children’s Online Privacy Code, providing protections for overseas disclosures of personal information, introducing new civil penalties, and increasing transparency about automated decisions which use personal information</w:t>
      </w:r>
      <w:r w:rsidR="00BD0284">
        <w:rPr>
          <w:rFonts w:ascii="Calibri" w:hAnsi="Calibri" w:cs="Calibri"/>
          <w:sz w:val="22"/>
          <w:szCs w:val="22"/>
        </w:rPr>
        <w:t xml:space="preserve">  (referred to as “</w:t>
      </w:r>
      <w:r w:rsidR="00BD0284" w:rsidRPr="00BD0284">
        <w:rPr>
          <w:rFonts w:ascii="Calibri" w:hAnsi="Calibri" w:cs="Calibri"/>
          <w:sz w:val="22"/>
          <w:szCs w:val="22"/>
        </w:rPr>
        <w:t>Privacy and Other Legislation Amendment Bill 2024</w:t>
      </w:r>
      <w:r w:rsidR="00BD0284">
        <w:rPr>
          <w:rFonts w:ascii="Calibri" w:hAnsi="Calibri" w:cs="Calibri"/>
          <w:sz w:val="22"/>
          <w:szCs w:val="22"/>
          <w:lang w:val="en-AU"/>
        </w:rPr>
        <w:t xml:space="preserve">”). </w:t>
      </w:r>
    </w:p>
    <w:p w14:paraId="3A2B7ECC" w14:textId="77777777" w:rsidR="00BD0284" w:rsidRDefault="00BD0284" w:rsidP="00AD2749">
      <w:pPr>
        <w:spacing w:after="0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67D1BA31" w14:textId="34B55CA4" w:rsidR="00BD0284" w:rsidRDefault="00BD0284" w:rsidP="00AD2749">
      <w:pPr>
        <w:spacing w:after="0"/>
        <w:jc w:val="both"/>
        <w:rPr>
          <w:rFonts w:ascii="Calibri" w:hAnsi="Calibri" w:cs="Calibri"/>
          <w:sz w:val="22"/>
          <w:szCs w:val="22"/>
          <w:lang w:val="en-AU"/>
        </w:rPr>
      </w:pPr>
      <w:r w:rsidRPr="00BD0284">
        <w:rPr>
          <w:rFonts w:ascii="Calibri" w:hAnsi="Calibri" w:cs="Calibri"/>
          <w:sz w:val="22"/>
          <w:szCs w:val="22"/>
        </w:rPr>
        <w:t>The Privacy and Other Legislation Amendment Bill 2024 would enact a first tranche of reforms to the </w:t>
      </w:r>
      <w:r w:rsidRPr="00BD0284">
        <w:rPr>
          <w:rFonts w:ascii="Calibri" w:hAnsi="Calibri" w:cs="Calibri"/>
          <w:i/>
          <w:iCs/>
          <w:sz w:val="22"/>
          <w:szCs w:val="22"/>
        </w:rPr>
        <w:t>Privacy Act 1988 </w:t>
      </w:r>
      <w:r w:rsidRPr="00BD0284">
        <w:rPr>
          <w:rFonts w:ascii="Calibri" w:hAnsi="Calibri" w:cs="Calibri"/>
          <w:sz w:val="22"/>
          <w:szCs w:val="22"/>
        </w:rPr>
        <w:t xml:space="preserve">to implement </w:t>
      </w:r>
      <w:proofErr w:type="gramStart"/>
      <w:r w:rsidRPr="00BD0284">
        <w:rPr>
          <w:rFonts w:ascii="Calibri" w:hAnsi="Calibri" w:cs="Calibri"/>
          <w:sz w:val="22"/>
          <w:szCs w:val="22"/>
        </w:rPr>
        <w:t>a number of</w:t>
      </w:r>
      <w:proofErr w:type="gramEnd"/>
      <w:r w:rsidRPr="00BD0284">
        <w:rPr>
          <w:rFonts w:ascii="Calibri" w:hAnsi="Calibri" w:cs="Calibri"/>
          <w:sz w:val="22"/>
          <w:szCs w:val="22"/>
        </w:rPr>
        <w:t xml:space="preserve"> legislative proposals agreed by the government in its Response to the Privacy Act Review (September 2023). </w:t>
      </w:r>
    </w:p>
    <w:p w14:paraId="3F9C8AE2" w14:textId="77777777" w:rsidR="00BD0284" w:rsidRDefault="00BD0284" w:rsidP="00AD2749">
      <w:pPr>
        <w:spacing w:after="0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4E9A966C" w14:textId="5E5F23F1" w:rsidR="00C83D9E" w:rsidRDefault="0017453D" w:rsidP="00AD2749">
      <w:pPr>
        <w:spacing w:after="0"/>
        <w:jc w:val="both"/>
        <w:rPr>
          <w:rFonts w:ascii="Calibri" w:hAnsi="Calibri" w:cs="Calibri"/>
          <w:sz w:val="22"/>
          <w:szCs w:val="22"/>
          <w:lang w:val="en-AU"/>
        </w:rPr>
      </w:pPr>
      <w:proofErr w:type="gramStart"/>
      <w:r>
        <w:rPr>
          <w:rFonts w:ascii="Calibri" w:hAnsi="Calibri" w:cs="Calibri"/>
          <w:sz w:val="22"/>
          <w:szCs w:val="22"/>
          <w:lang w:val="en-AU"/>
        </w:rPr>
        <w:t>For the purpose of</w:t>
      </w:r>
      <w:proofErr w:type="gramEnd"/>
      <w:r>
        <w:rPr>
          <w:rFonts w:ascii="Calibri" w:hAnsi="Calibri" w:cs="Calibri"/>
          <w:sz w:val="22"/>
          <w:szCs w:val="22"/>
          <w:lang w:val="en-AU"/>
        </w:rPr>
        <w:t xml:space="preserve"> this FAQ, we will</w:t>
      </w:r>
      <w:r w:rsidR="00EF7163">
        <w:rPr>
          <w:rFonts w:ascii="Calibri" w:hAnsi="Calibri" w:cs="Calibri"/>
          <w:sz w:val="22"/>
          <w:szCs w:val="22"/>
          <w:lang w:val="en-AU"/>
        </w:rPr>
        <w:t xml:space="preserve"> be focusing on the Amendment Act p</w:t>
      </w:r>
      <w:r w:rsidR="00C83D9E">
        <w:rPr>
          <w:rFonts w:ascii="Calibri" w:hAnsi="Calibri" w:cs="Calibri"/>
          <w:sz w:val="22"/>
          <w:szCs w:val="22"/>
          <w:lang w:val="en-AU"/>
        </w:rPr>
        <w:t xml:space="preserve">ending the </w:t>
      </w:r>
      <w:r w:rsidR="00EF7163">
        <w:rPr>
          <w:rFonts w:ascii="Calibri" w:hAnsi="Calibri" w:cs="Calibri"/>
          <w:sz w:val="22"/>
          <w:szCs w:val="22"/>
          <w:lang w:val="en-AU"/>
        </w:rPr>
        <w:t xml:space="preserve">Privacy and Other Legislation Amendment Bill 2024, </w:t>
      </w:r>
    </w:p>
    <w:p w14:paraId="10B40580" w14:textId="771FA125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2FDFEFA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8925132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F5FB640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2</w:t>
      </w:r>
      <w:r w:rsidRPr="00AD2749">
        <w:rPr>
          <w:rFonts w:ascii="Calibri" w:hAnsi="Calibri" w:cs="Calibri"/>
          <w:b/>
          <w:bCs/>
          <w:sz w:val="22"/>
          <w:szCs w:val="22"/>
        </w:rPr>
        <w:t>. What changes were introduced by the Amendment Act?</w:t>
      </w:r>
    </w:p>
    <w:p w14:paraId="6967DAB8" w14:textId="2583E735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The Amendment Act increased the maximum penalty for serious and repeated interferences with an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 xml:space="preserve">individual’s privacy substantially from AU$2.22 million to the greater of: </w:t>
      </w:r>
    </w:p>
    <w:p w14:paraId="503EB71C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• AU$50 million; or</w:t>
      </w:r>
    </w:p>
    <w:p w14:paraId="04CA2F20" w14:textId="5DCCB54E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lastRenderedPageBreak/>
        <w:t>• if a court can determine the value of the benefit that the organization or its related entities,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>have obtained and that is reasonably attributable to the violation —3 times the value of that benefit; or</w:t>
      </w:r>
    </w:p>
    <w:p w14:paraId="5B7E86DC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• if the court cannot determine the value of that benefit—30% of the adjusted turnover of the </w:t>
      </w:r>
    </w:p>
    <w:p w14:paraId="20089485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organization during the ‘breach turnover period’ for the contravention.</w:t>
      </w:r>
    </w:p>
    <w:p w14:paraId="6E63DA83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33DD59D" w14:textId="504995B9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The Amendment Act also lowered the threshold for a foreign organization to be covered by the Privacy Act. Prior to the Amendment Act, an ‘Australian link’ required the elements of: (</w:t>
      </w:r>
      <w:proofErr w:type="spellStart"/>
      <w:r w:rsidRPr="00AD2749">
        <w:rPr>
          <w:rFonts w:ascii="Calibri" w:hAnsi="Calibri" w:cs="Calibri"/>
          <w:sz w:val="22"/>
          <w:szCs w:val="22"/>
        </w:rPr>
        <w:t>i</w:t>
      </w:r>
      <w:proofErr w:type="spellEnd"/>
      <w:r w:rsidRPr="00AD2749">
        <w:rPr>
          <w:rFonts w:ascii="Calibri" w:hAnsi="Calibri" w:cs="Calibri"/>
          <w:sz w:val="22"/>
          <w:szCs w:val="22"/>
        </w:rPr>
        <w:t>) carrying on business in Australia and (ii) collecting or holding personal information in Australia. The amendments to subsection 5</w:t>
      </w:r>
      <w:proofErr w:type="gramStart"/>
      <w:r w:rsidRPr="00AD2749">
        <w:rPr>
          <w:rFonts w:ascii="Calibri" w:hAnsi="Calibri" w:cs="Calibri"/>
          <w:sz w:val="22"/>
          <w:szCs w:val="22"/>
        </w:rPr>
        <w:t>B(</w:t>
      </w:r>
      <w:proofErr w:type="gramEnd"/>
      <w:r w:rsidRPr="00AD2749">
        <w:rPr>
          <w:rFonts w:ascii="Calibri" w:hAnsi="Calibri" w:cs="Calibri"/>
          <w:sz w:val="22"/>
          <w:szCs w:val="22"/>
        </w:rPr>
        <w:t>3) of the Privacy Act now only require (</w:t>
      </w:r>
      <w:proofErr w:type="spellStart"/>
      <w:r w:rsidRPr="00AD2749">
        <w:rPr>
          <w:rFonts w:ascii="Calibri" w:hAnsi="Calibri" w:cs="Calibri"/>
          <w:sz w:val="22"/>
          <w:szCs w:val="22"/>
        </w:rPr>
        <w:t>i</w:t>
      </w:r>
      <w:proofErr w:type="spellEnd"/>
      <w:r w:rsidRPr="00AD2749">
        <w:rPr>
          <w:rFonts w:ascii="Calibri" w:hAnsi="Calibri" w:cs="Calibri"/>
          <w:sz w:val="22"/>
          <w:szCs w:val="22"/>
        </w:rPr>
        <w:t>) carrying on business in Australia to establish an “Australian link” (described in the question below).</w:t>
      </w:r>
    </w:p>
    <w:p w14:paraId="2E0F16C1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638DD14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Lastly, the Amendment Act expanded the enforcement and information sharing powers of the OAIC, </w:t>
      </w:r>
    </w:p>
    <w:p w14:paraId="6E85FCA3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including new powers to request information and assess whether an organization has complied with </w:t>
      </w:r>
    </w:p>
    <w:p w14:paraId="38AB187D" w14:textId="6E6D0DDD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its obligations to report notifiable data breaches, to share information regarding breaches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 xml:space="preserve">Privacy Act with other regulators, and to disclose information to the public where it is in the public interest to do so. </w:t>
      </w:r>
    </w:p>
    <w:p w14:paraId="5EF80FC2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6D73307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D2749">
        <w:rPr>
          <w:rFonts w:ascii="Calibri" w:hAnsi="Calibri" w:cs="Calibri"/>
          <w:b/>
          <w:bCs/>
          <w:sz w:val="22"/>
          <w:szCs w:val="22"/>
        </w:rPr>
        <w:t>3. What is the territorial scope of the Privacy Act?</w:t>
      </w:r>
    </w:p>
    <w:p w14:paraId="317EDD70" w14:textId="68B9B698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As noted above, the Privacy Act applies extraterritorially if the foreign organization has an ‘Australian link’ and ‘carries on’ business in Australia. Whether an organization ‘carries on’ business in Australi</w:t>
      </w:r>
      <w:r>
        <w:rPr>
          <w:rFonts w:ascii="Calibri" w:hAnsi="Calibri" w:cs="Calibri"/>
          <w:sz w:val="22"/>
          <w:szCs w:val="22"/>
        </w:rPr>
        <w:t xml:space="preserve">a </w:t>
      </w:r>
      <w:r w:rsidRPr="00AD2749">
        <w:rPr>
          <w:rFonts w:ascii="Calibri" w:hAnsi="Calibri" w:cs="Calibri"/>
          <w:sz w:val="22"/>
          <w:szCs w:val="22"/>
        </w:rPr>
        <w:t xml:space="preserve">is a fact-specific analysis. </w:t>
      </w:r>
      <w:proofErr w:type="gramStart"/>
      <w:r w:rsidRPr="00AD2749">
        <w:rPr>
          <w:rFonts w:ascii="Calibri" w:hAnsi="Calibri" w:cs="Calibri"/>
          <w:sz w:val="22"/>
          <w:szCs w:val="22"/>
        </w:rPr>
        <w:t>Generally speaking, an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organization carries on business ‘in Australia’ if there is some systematic and regular activity in Australia with a view to profit that forms part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 xml:space="preserve">organizations business, even if the bulk of its commercial activities take place overseas and it has no physical presence in Australia. </w:t>
      </w:r>
    </w:p>
    <w:p w14:paraId="3F5CF025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B01D891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b/>
          <w:bCs/>
          <w:sz w:val="22"/>
          <w:szCs w:val="22"/>
        </w:rPr>
        <w:t>4. What does it mean to process personal information</w:t>
      </w:r>
      <w:r w:rsidRPr="00AD2749">
        <w:rPr>
          <w:rFonts w:ascii="Calibri" w:hAnsi="Calibri" w:cs="Calibri"/>
          <w:sz w:val="22"/>
          <w:szCs w:val="22"/>
        </w:rPr>
        <w:t>?</w:t>
      </w:r>
    </w:p>
    <w:p w14:paraId="40DE2C6F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“Personal information” is defined under the Privacy Act to broadly mean information or an opinion </w:t>
      </w:r>
    </w:p>
    <w:p w14:paraId="51E4AF73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about an identified individual, or an individual who is reasonably identifiable. </w:t>
      </w:r>
    </w:p>
    <w:p w14:paraId="63CEC92F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A1855DC" w14:textId="379ED7EF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The Privacy Act does not use the term “processing”, and instead refers to personal information being “collected”, “used”, or “disclosed”. An entity “collects” personal information if it collects personal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 xml:space="preserve">information for inclusion in a record (which includes any document, or electronic or other device). </w:t>
      </w:r>
    </w:p>
    <w:p w14:paraId="77F263A9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52F943B" w14:textId="232DBF56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The terms “use” and “disclosure” are not defined in the Privacy Act. According to the OAIC’s </w:t>
      </w:r>
      <w:proofErr w:type="gramStart"/>
      <w:r w:rsidRPr="00AD2749">
        <w:rPr>
          <w:rFonts w:ascii="Calibri" w:hAnsi="Calibri" w:cs="Calibri"/>
          <w:sz w:val="22"/>
          <w:szCs w:val="22"/>
        </w:rPr>
        <w:t xml:space="preserve">guidance,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>the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terms generally have the following meanings: </w:t>
      </w:r>
    </w:p>
    <w:p w14:paraId="7499983F" w14:textId="6499887F" w:rsidR="00AD2749" w:rsidRPr="00AD2749" w:rsidRDefault="00AD2749" w:rsidP="00AD2749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An entity “uses” personal information when it handles and manages information within the entity’s effective control.</w:t>
      </w:r>
    </w:p>
    <w:p w14:paraId="24E6FEA4" w14:textId="5E1E6E26" w:rsidR="00AD2749" w:rsidRDefault="00AD2749" w:rsidP="00AD2749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An entity “discloses” personal information when it makes accessible or visible to others outside the entity and release the subsequent handling of personal information from its effective control. </w:t>
      </w:r>
    </w:p>
    <w:p w14:paraId="23086CCF" w14:textId="77777777" w:rsidR="00AD2749" w:rsidRPr="00AD2749" w:rsidRDefault="00AD2749" w:rsidP="00AD2749">
      <w:pPr>
        <w:pStyle w:val="ListParagraph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7AD853E" w14:textId="154316EC" w:rsidR="00AD2749" w:rsidRPr="00AD2749" w:rsidRDefault="00AD2749" w:rsidP="00AD274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D2749">
        <w:rPr>
          <w:rFonts w:ascii="Calibri" w:hAnsi="Calibri" w:cs="Calibri"/>
          <w:b/>
          <w:bCs/>
          <w:sz w:val="22"/>
          <w:szCs w:val="22"/>
        </w:rPr>
        <w:t>5. What rights do individuals have under the Privacy Act and how will Autodesk support these rights?</w:t>
      </w:r>
    </w:p>
    <w:p w14:paraId="26DD4110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lastRenderedPageBreak/>
        <w:t xml:space="preserve">The Privacy Act provides the following rights to individuals in relation to their personal information: </w:t>
      </w:r>
    </w:p>
    <w:p w14:paraId="1115DCBB" w14:textId="3C90BAD7" w:rsidR="00AD2749" w:rsidRPr="00AD2749" w:rsidRDefault="00AD2749" w:rsidP="00AD2749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right to be notified of the collection of their personal </w:t>
      </w:r>
      <w:proofErr w:type="gramStart"/>
      <w:r w:rsidRPr="00AD2749">
        <w:rPr>
          <w:rFonts w:ascii="Calibri" w:hAnsi="Calibri" w:cs="Calibri"/>
          <w:sz w:val="22"/>
          <w:szCs w:val="22"/>
        </w:rPr>
        <w:t>information;</w:t>
      </w:r>
      <w:proofErr w:type="gramEnd"/>
    </w:p>
    <w:p w14:paraId="0EC1A437" w14:textId="2D2600F6" w:rsidR="00AD2749" w:rsidRPr="00AD2749" w:rsidRDefault="00AD2749" w:rsidP="00AD2749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right to not identify themselves or to use a pseudonym when dealing with an APP </w:t>
      </w:r>
      <w:proofErr w:type="gramStart"/>
      <w:r w:rsidRPr="00AD2749">
        <w:rPr>
          <w:rFonts w:ascii="Calibri" w:hAnsi="Calibri" w:cs="Calibri"/>
          <w:sz w:val="22"/>
          <w:szCs w:val="22"/>
        </w:rPr>
        <w:t>entity;</w:t>
      </w:r>
      <w:proofErr w:type="gramEnd"/>
    </w:p>
    <w:p w14:paraId="35C580E3" w14:textId="5AF8BA1A" w:rsidR="00AD2749" w:rsidRPr="00AD2749" w:rsidRDefault="00AD2749" w:rsidP="00AD2749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right to request access to their personal information; and </w:t>
      </w:r>
    </w:p>
    <w:p w14:paraId="74EE5310" w14:textId="59920360" w:rsidR="00AD2749" w:rsidRPr="00AD2749" w:rsidRDefault="00AD2749" w:rsidP="00AD2749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right to seek correction of their personal information. </w:t>
      </w:r>
    </w:p>
    <w:p w14:paraId="2F15A0C3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C1504C8" w14:textId="0824C3EB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Individuals may also submit complaints regarding the handling of their personal information to </w:t>
      </w:r>
      <w:proofErr w:type="gramStart"/>
      <w:r w:rsidRPr="00AD2749">
        <w:rPr>
          <w:rFonts w:ascii="Calibri" w:hAnsi="Calibri" w:cs="Calibri"/>
          <w:sz w:val="22"/>
          <w:szCs w:val="22"/>
        </w:rPr>
        <w:t xml:space="preserve">APP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>entities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that handle their personal information. If they are not satisfied with the how the APP </w:t>
      </w:r>
      <w:proofErr w:type="gramStart"/>
      <w:r w:rsidRPr="00AD2749">
        <w:rPr>
          <w:rFonts w:ascii="Calibri" w:hAnsi="Calibri" w:cs="Calibri"/>
          <w:sz w:val="22"/>
          <w:szCs w:val="22"/>
        </w:rPr>
        <w:t xml:space="preserve">entity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>handles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their complaint, they may also make a complaint to the OAIC. </w:t>
      </w:r>
    </w:p>
    <w:p w14:paraId="1BC6EECB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D655CE6" w14:textId="057CB20A" w:rsidR="00AD2749" w:rsidRPr="00AD2749" w:rsidRDefault="00AD2749" w:rsidP="00AD274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D2749">
        <w:rPr>
          <w:rFonts w:ascii="Calibri" w:hAnsi="Calibri" w:cs="Calibri"/>
          <w:b/>
          <w:bCs/>
          <w:sz w:val="22"/>
          <w:szCs w:val="22"/>
        </w:rPr>
        <w:t>6. Does the Privacy Act require personal information to stay in Australia?</w:t>
      </w:r>
    </w:p>
    <w:p w14:paraId="14A9C125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The Privacy Act does not contain a data localization requirement, meaning that personal information </w:t>
      </w:r>
    </w:p>
    <w:p w14:paraId="563B5D00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is not required to be kept in Australia.</w:t>
      </w:r>
    </w:p>
    <w:p w14:paraId="4224E5D9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5CF1ED6" w14:textId="4C316FBD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However, the transfer of personal information out of Australia is subject to safeguards. Cross-border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 xml:space="preserve">transfers are permitted if an APP entity takes reasonable steps to ensure that overseas recipients </w:t>
      </w:r>
      <w:proofErr w:type="gramStart"/>
      <w:r w:rsidRPr="00AD2749">
        <w:rPr>
          <w:rFonts w:ascii="Calibri" w:hAnsi="Calibri" w:cs="Calibri"/>
          <w:sz w:val="22"/>
          <w:szCs w:val="22"/>
        </w:rPr>
        <w:t xml:space="preserve">of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>personal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information do not breach the APPs in relation to the information (unless an exception applies). In practice, this may include measures such as </w:t>
      </w:r>
      <w:proofErr w:type="gramStart"/>
      <w:r w:rsidRPr="00AD2749">
        <w:rPr>
          <w:rFonts w:ascii="Calibri" w:hAnsi="Calibri" w:cs="Calibri"/>
          <w:sz w:val="22"/>
          <w:szCs w:val="22"/>
        </w:rPr>
        <w:t>entering into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contracts that contain terms to the effect that the overseas recipient will comply with the requirements of the Privacy Act and APPs. </w:t>
      </w:r>
    </w:p>
    <w:p w14:paraId="39125B28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9D9FAD5" w14:textId="103FCD99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An APP entity may also disclose personal information to an overseas recipient in certain other circumstances such as (amongst others): </w:t>
      </w:r>
    </w:p>
    <w:p w14:paraId="79050D92" w14:textId="34C3C327" w:rsidR="00AD2749" w:rsidRPr="00AD2749" w:rsidRDefault="00AD2749" w:rsidP="00AD2749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if the entity reasonably believes that the recipient of the information is subject to a law, or binding scheme that has the effect of protecting the information in a way that, overall, is at least substantially </w:t>
      </w:r>
      <w:proofErr w:type="gramStart"/>
      <w:r w:rsidRPr="00AD2749">
        <w:rPr>
          <w:rFonts w:ascii="Calibri" w:hAnsi="Calibri" w:cs="Calibri"/>
          <w:sz w:val="22"/>
          <w:szCs w:val="22"/>
        </w:rPr>
        <w:t>similar to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the protections of the APPs; or</w:t>
      </w:r>
    </w:p>
    <w:p w14:paraId="51E68F27" w14:textId="5ED27F40" w:rsidR="00AD2749" w:rsidRPr="00AD2749" w:rsidRDefault="00AD2749" w:rsidP="00AD2749">
      <w:pPr>
        <w:pStyle w:val="ListParagraph"/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the individual consents to the disclosure; or</w:t>
      </w:r>
    </w:p>
    <w:p w14:paraId="150EA16A" w14:textId="56156B30" w:rsidR="00AD2749" w:rsidRDefault="00AD2749" w:rsidP="00AD2749">
      <w:pPr>
        <w:pStyle w:val="ListParagraph"/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a permitted situation under the Privacy Act exists. </w:t>
      </w:r>
    </w:p>
    <w:p w14:paraId="29A9BAFE" w14:textId="77777777" w:rsidR="00AD2749" w:rsidRPr="00AD2749" w:rsidRDefault="00AD2749" w:rsidP="00AD2749">
      <w:pPr>
        <w:pStyle w:val="ListParagraph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53159B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D2749">
        <w:rPr>
          <w:rFonts w:ascii="Calibri" w:hAnsi="Calibri" w:cs="Calibri"/>
          <w:b/>
          <w:bCs/>
          <w:sz w:val="22"/>
          <w:szCs w:val="22"/>
        </w:rPr>
        <w:t>7. Does the Privacy Act create special rules for minors?</w:t>
      </w:r>
    </w:p>
    <w:p w14:paraId="2770BAB2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The Privacy Act does not create special rules for minors. However, where the Privacy Act requires </w:t>
      </w:r>
    </w:p>
    <w:p w14:paraId="2AB6FAFC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consent from an individual </w:t>
      </w:r>
      <w:proofErr w:type="gramStart"/>
      <w:r w:rsidRPr="00AD2749">
        <w:rPr>
          <w:rFonts w:ascii="Calibri" w:hAnsi="Calibri" w:cs="Calibri"/>
          <w:sz w:val="22"/>
          <w:szCs w:val="22"/>
        </w:rPr>
        <w:t>in order to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collect, use or disclose personal information, consent will be </w:t>
      </w:r>
    </w:p>
    <w:p w14:paraId="48C7517D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determined on a </w:t>
      </w:r>
      <w:proofErr w:type="gramStart"/>
      <w:r w:rsidRPr="00AD2749">
        <w:rPr>
          <w:rFonts w:ascii="Calibri" w:hAnsi="Calibri" w:cs="Calibri"/>
          <w:sz w:val="22"/>
          <w:szCs w:val="22"/>
        </w:rPr>
        <w:t>case by case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basis. Where a minor does not have capacity to provide consent, </w:t>
      </w:r>
    </w:p>
    <w:p w14:paraId="218E0E3D" w14:textId="77777777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parental consent will be relied on instead. </w:t>
      </w:r>
    </w:p>
    <w:p w14:paraId="55E9D5D1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1C50E3A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D2749">
        <w:rPr>
          <w:rFonts w:ascii="Calibri" w:hAnsi="Calibri" w:cs="Calibri"/>
          <w:b/>
          <w:bCs/>
          <w:sz w:val="22"/>
          <w:szCs w:val="22"/>
        </w:rPr>
        <w:t>8. How will Autodesk demonstrate compliance with the Privacy Act?</w:t>
      </w:r>
    </w:p>
    <w:p w14:paraId="34B27FFD" w14:textId="3B1FA619" w:rsid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 xml:space="preserve">We are committed to practicing transparency in how we handle personal information. We </w:t>
      </w:r>
      <w:proofErr w:type="gramStart"/>
      <w:r w:rsidRPr="00AD2749">
        <w:rPr>
          <w:rFonts w:ascii="Calibri" w:hAnsi="Calibri" w:cs="Calibri"/>
          <w:sz w:val="22"/>
          <w:szCs w:val="22"/>
        </w:rPr>
        <w:t xml:space="preserve">conduct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>internal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assessments to maintain our obligations under the Privacy Act. For additional </w:t>
      </w:r>
      <w:proofErr w:type="gramStart"/>
      <w:r w:rsidRPr="00AD2749">
        <w:rPr>
          <w:rFonts w:ascii="Calibri" w:hAnsi="Calibri" w:cs="Calibri"/>
          <w:sz w:val="22"/>
          <w:szCs w:val="22"/>
        </w:rPr>
        <w:t xml:space="preserve">information, </w:t>
      </w:r>
      <w:r>
        <w:rPr>
          <w:rFonts w:ascii="Calibri" w:hAnsi="Calibri" w:cs="Calibri"/>
          <w:sz w:val="22"/>
          <w:szCs w:val="22"/>
        </w:rPr>
        <w:t xml:space="preserve"> </w:t>
      </w:r>
      <w:r w:rsidRPr="00AD2749">
        <w:rPr>
          <w:rFonts w:ascii="Calibri" w:hAnsi="Calibri" w:cs="Calibri"/>
          <w:sz w:val="22"/>
          <w:szCs w:val="22"/>
        </w:rPr>
        <w:t>please</w:t>
      </w:r>
      <w:proofErr w:type="gramEnd"/>
      <w:r w:rsidRPr="00AD2749">
        <w:rPr>
          <w:rFonts w:ascii="Calibri" w:hAnsi="Calibri" w:cs="Calibri"/>
          <w:sz w:val="22"/>
          <w:szCs w:val="22"/>
        </w:rPr>
        <w:t xml:space="preserve"> visit our Trust Center. You can find our Global Privacy Statement here. </w:t>
      </w:r>
    </w:p>
    <w:p w14:paraId="0E4820A6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EE4DB49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D2749">
        <w:rPr>
          <w:rFonts w:ascii="Calibri" w:hAnsi="Calibri" w:cs="Calibri"/>
          <w:b/>
          <w:bCs/>
          <w:sz w:val="22"/>
          <w:szCs w:val="22"/>
        </w:rPr>
        <w:t>9. How can I contact Autodesk’s Australian affiliate?</w:t>
      </w:r>
    </w:p>
    <w:p w14:paraId="6CBD5935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The contact information for Autodesk’s Australian entity is:</w:t>
      </w:r>
    </w:p>
    <w:p w14:paraId="3714305A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lastRenderedPageBreak/>
        <w:t>Autodesk Australia Pty Ltd</w:t>
      </w:r>
    </w:p>
    <w:p w14:paraId="1C8FCE54" w14:textId="77777777" w:rsidR="00AD2749" w:rsidRPr="00AD2749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Spaces Level 17, 1 Denison Street, North Sydney</w:t>
      </w:r>
    </w:p>
    <w:p w14:paraId="63F7FD69" w14:textId="53EB39FE" w:rsidR="00D172C8" w:rsidRDefault="00AD2749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D2749">
        <w:rPr>
          <w:rFonts w:ascii="Calibri" w:hAnsi="Calibri" w:cs="Calibri"/>
          <w:sz w:val="22"/>
          <w:szCs w:val="22"/>
        </w:rPr>
        <w:t>NSW 2060, Australia</w:t>
      </w:r>
    </w:p>
    <w:p w14:paraId="20BD7921" w14:textId="77777777" w:rsidR="00CB557F" w:rsidRDefault="00CB557F" w:rsidP="00AD274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7432A40" w14:textId="26E2E6AA" w:rsidR="00CB557F" w:rsidRPr="00AD2749" w:rsidRDefault="00CB557F" w:rsidP="00BD0284">
      <w:pPr>
        <w:spacing w:after="0"/>
        <w:jc w:val="both"/>
        <w:rPr>
          <w:rFonts w:ascii="Calibri" w:hAnsi="Calibri" w:cs="Calibri"/>
          <w:sz w:val="22"/>
          <w:szCs w:val="22"/>
        </w:rPr>
      </w:pPr>
    </w:p>
    <w:sectPr w:rsidR="00CB557F" w:rsidRPr="00AD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656B"/>
    <w:multiLevelType w:val="hybridMultilevel"/>
    <w:tmpl w:val="FE2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A4C93"/>
    <w:multiLevelType w:val="hybridMultilevel"/>
    <w:tmpl w:val="BD481F76"/>
    <w:lvl w:ilvl="0" w:tplc="37BA37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5D9D"/>
    <w:multiLevelType w:val="hybridMultilevel"/>
    <w:tmpl w:val="40E0362E"/>
    <w:lvl w:ilvl="0" w:tplc="37BA37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16F0"/>
    <w:multiLevelType w:val="hybridMultilevel"/>
    <w:tmpl w:val="4238E1BA"/>
    <w:lvl w:ilvl="0" w:tplc="37BA37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70263">
    <w:abstractNumId w:val="0"/>
  </w:num>
  <w:num w:numId="2" w16cid:durableId="1181235504">
    <w:abstractNumId w:val="2"/>
  </w:num>
  <w:num w:numId="3" w16cid:durableId="824858644">
    <w:abstractNumId w:val="1"/>
  </w:num>
  <w:num w:numId="4" w16cid:durableId="200724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9"/>
    <w:rsid w:val="00170E2D"/>
    <w:rsid w:val="0017453D"/>
    <w:rsid w:val="00212950"/>
    <w:rsid w:val="0026340C"/>
    <w:rsid w:val="00386943"/>
    <w:rsid w:val="00421FF7"/>
    <w:rsid w:val="00444272"/>
    <w:rsid w:val="004A26C9"/>
    <w:rsid w:val="004F485B"/>
    <w:rsid w:val="004F6FC4"/>
    <w:rsid w:val="00AD2749"/>
    <w:rsid w:val="00BD0284"/>
    <w:rsid w:val="00C83D9E"/>
    <w:rsid w:val="00CB557F"/>
    <w:rsid w:val="00D172C8"/>
    <w:rsid w:val="00E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571C"/>
  <w15:chartTrackingRefBased/>
  <w15:docId w15:val="{5C39FE7D-823C-4063-BAA0-63B534DA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74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B55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0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2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2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Ammal Hassannuddin</dc:creator>
  <cp:keywords/>
  <dc:description/>
  <cp:lastModifiedBy>Nur Ammal Hassannuddin</cp:lastModifiedBy>
  <cp:revision>3</cp:revision>
  <dcterms:created xsi:type="dcterms:W3CDTF">2024-11-27T08:27:00Z</dcterms:created>
  <dcterms:modified xsi:type="dcterms:W3CDTF">2024-11-27T08:28:00Z</dcterms:modified>
</cp:coreProperties>
</file>