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BC20C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Indonesia’s Data Protection Regulations (“IDPR”) FAQs</w:t>
      </w:r>
    </w:p>
    <w:p w14:paraId="6A400A51" w14:textId="691B4CD8" w:rsid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Last updated: </w:t>
      </w:r>
      <w:r w:rsidR="00B8131D">
        <w:rPr>
          <w:rFonts w:ascii="Calibri" w:hAnsi="Calibri" w:cs="Calibri"/>
          <w:sz w:val="22"/>
          <w:szCs w:val="22"/>
        </w:rPr>
        <w:t>11.26.2024</w:t>
      </w:r>
    </w:p>
    <w:p w14:paraId="5F5C0860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5D8BBF7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985B44">
        <w:rPr>
          <w:rFonts w:ascii="Calibri" w:hAnsi="Calibri" w:cs="Calibri"/>
          <w:b/>
          <w:bCs/>
          <w:sz w:val="22"/>
          <w:szCs w:val="22"/>
        </w:rPr>
        <w:t xml:space="preserve">1. What Is the IDPR? </w:t>
      </w:r>
    </w:p>
    <w:p w14:paraId="56AFB3D8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Currently, Indonesia has no unified framework of its data protection laws and regulations. The prevailing </w:t>
      </w:r>
    </w:p>
    <w:p w14:paraId="2D933964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laws and regulations governing Personal Data protection in Indonesia, collectively referred to as the </w:t>
      </w:r>
    </w:p>
    <w:p w14:paraId="040D7597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“Indonesian Data Protection Regulations,” or the “IDPR” are:</w:t>
      </w:r>
    </w:p>
    <w:p w14:paraId="21137020" w14:textId="7B6BA967" w:rsidR="00985B44" w:rsidRPr="00985B44" w:rsidRDefault="00985B44" w:rsidP="00985B44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Law No. 11 of 2008 as amended by Law No. 19 of 2016 on Electronic Information and Transaction (“EIT Law”);</w:t>
      </w:r>
    </w:p>
    <w:p w14:paraId="704EEF88" w14:textId="5E1CBDB2" w:rsidR="00985B44" w:rsidRPr="00985B44" w:rsidRDefault="00985B44" w:rsidP="00985B44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Law No. 27 of 2022 on Personal Data Protection (“PDP Law”) and its implementing regulations (in effect beginning in October 2024);</w:t>
      </w:r>
    </w:p>
    <w:p w14:paraId="1F481AC3" w14:textId="77309039" w:rsidR="00985B44" w:rsidRPr="00985B44" w:rsidRDefault="00985B44" w:rsidP="00985B44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Government Regulation No. 71 of 2019 on the Organization of Electronic Systems and </w:t>
      </w:r>
    </w:p>
    <w:p w14:paraId="2C377A0A" w14:textId="77777777" w:rsidR="00985B44" w:rsidRPr="00985B44" w:rsidRDefault="00985B44" w:rsidP="00985B44">
      <w:pPr>
        <w:pStyle w:val="ListParagraph"/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Transactions (“GR 71/2019”); </w:t>
      </w:r>
    </w:p>
    <w:p w14:paraId="6751AB3F" w14:textId="18239B60" w:rsidR="00985B44" w:rsidRPr="00985B44" w:rsidRDefault="00985B44" w:rsidP="00985B44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Minister of Communication and Information Technology Regulation No. 20 of 2016 on Personal </w:t>
      </w:r>
    </w:p>
    <w:p w14:paraId="43237304" w14:textId="77777777" w:rsidR="00985B44" w:rsidRPr="00985B44" w:rsidRDefault="00985B44" w:rsidP="00985B44">
      <w:pPr>
        <w:pStyle w:val="ListParagraph"/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Data Protection in Electronic Systems (“MOCI Reg 20/2016”); and</w:t>
      </w:r>
    </w:p>
    <w:p w14:paraId="42004635" w14:textId="706B1AE3" w:rsidR="00985B44" w:rsidRPr="00985B44" w:rsidRDefault="00985B44" w:rsidP="00985B44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Other sectoral regulations. </w:t>
      </w:r>
    </w:p>
    <w:p w14:paraId="75E4F528" w14:textId="77777777" w:rsid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4BFFDC2" w14:textId="384551EC" w:rsidR="00BF68AF" w:rsidRDefault="00985B44" w:rsidP="00BF68AF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The PDP Law, along with its implementing regulations, will be the primary regulatory framework of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>Personal Data protection in Indonesia</w:t>
      </w:r>
      <w:r>
        <w:rPr>
          <w:rFonts w:ascii="Calibri" w:hAnsi="Calibri" w:cs="Calibri"/>
          <w:sz w:val="22"/>
          <w:szCs w:val="22"/>
        </w:rPr>
        <w:t xml:space="preserve">. </w:t>
      </w:r>
      <w:r w:rsidR="00BF68AF">
        <w:rPr>
          <w:rFonts w:ascii="Calibri" w:hAnsi="Calibri" w:cs="Calibri"/>
          <w:sz w:val="22"/>
          <w:szCs w:val="22"/>
        </w:rPr>
        <w:t>T</w:t>
      </w:r>
      <w:r w:rsidR="00BF68AF" w:rsidRPr="00985B44">
        <w:rPr>
          <w:rFonts w:ascii="Calibri" w:hAnsi="Calibri" w:cs="Calibri"/>
          <w:sz w:val="22"/>
          <w:szCs w:val="22"/>
        </w:rPr>
        <w:t xml:space="preserve">he PDP Law addresses a variety of topics, including the rights and obligations of Data Subjects, Data Processors, and Data Controllers relating to the Personal Data processing activities. </w:t>
      </w:r>
    </w:p>
    <w:p w14:paraId="6E724B86" w14:textId="77777777" w:rsidR="00BF68AF" w:rsidRDefault="00BF68AF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12DA5C8" w14:textId="402F3789" w:rsidR="003F581B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Currently the PDP Law has been in effect since October 2024</w:t>
      </w:r>
      <w:r w:rsidR="003F581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3F581B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owever, </w:t>
      </w:r>
      <w:r w:rsidR="003F581B">
        <w:rPr>
          <w:rFonts w:ascii="Calibri" w:hAnsi="Calibri" w:cs="Calibri"/>
          <w:sz w:val="22"/>
          <w:szCs w:val="22"/>
        </w:rPr>
        <w:t>the following are still pending:-</w:t>
      </w:r>
    </w:p>
    <w:p w14:paraId="1E7D321A" w14:textId="2A371E14" w:rsidR="003F581B" w:rsidRDefault="003F581B" w:rsidP="003F581B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D1167">
        <w:rPr>
          <w:rFonts w:ascii="Calibri" w:hAnsi="Calibri" w:cs="Calibri"/>
          <w:sz w:val="22"/>
          <w:szCs w:val="22"/>
        </w:rPr>
        <w:t>the establishment of the PDP Institution</w:t>
      </w:r>
      <w:r w:rsidR="00BF68AF">
        <w:rPr>
          <w:rFonts w:ascii="Calibri" w:hAnsi="Calibri" w:cs="Calibri"/>
          <w:sz w:val="22"/>
          <w:szCs w:val="22"/>
        </w:rPr>
        <w:t xml:space="preserve"> as the authority and enforcement agency for PDP Law</w:t>
      </w:r>
    </w:p>
    <w:p w14:paraId="4ABA19B1" w14:textId="5E2B21A4" w:rsidR="003F581B" w:rsidRDefault="003F581B" w:rsidP="003F581B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D1167">
        <w:rPr>
          <w:rFonts w:ascii="Calibri" w:hAnsi="Calibri" w:cs="Calibri"/>
          <w:sz w:val="22"/>
          <w:szCs w:val="22"/>
        </w:rPr>
        <w:t xml:space="preserve">the </w:t>
      </w:r>
      <w:r w:rsidR="00985B44" w:rsidRPr="003D1167">
        <w:rPr>
          <w:rFonts w:ascii="Calibri" w:hAnsi="Calibri" w:cs="Calibri"/>
          <w:sz w:val="22"/>
          <w:szCs w:val="22"/>
        </w:rPr>
        <w:t>implementing regulations</w:t>
      </w:r>
      <w:r>
        <w:rPr>
          <w:rFonts w:ascii="Calibri" w:hAnsi="Calibri" w:cs="Calibri"/>
          <w:sz w:val="22"/>
          <w:szCs w:val="22"/>
        </w:rPr>
        <w:t xml:space="preserve"> of the PDP </w:t>
      </w:r>
      <w:r w:rsidR="00BF68AF">
        <w:rPr>
          <w:rFonts w:ascii="Calibri" w:hAnsi="Calibri" w:cs="Calibri"/>
          <w:sz w:val="22"/>
          <w:szCs w:val="22"/>
        </w:rPr>
        <w:t>Law</w:t>
      </w:r>
    </w:p>
    <w:p w14:paraId="356C1AF5" w14:textId="03DFC0AA" w:rsidR="003F581B" w:rsidRDefault="003F581B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5C102E4" w14:textId="77777777" w:rsidR="003F581B" w:rsidRDefault="003F581B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E058FC2" w14:textId="043FFBC7" w:rsidR="00BF68AF" w:rsidRDefault="00BF68AF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Simultaneously, the regulator is also amending the GR 71/2019 and the amendments are focusing on data localization requirements applicable to electronic systems.</w:t>
      </w:r>
    </w:p>
    <w:p w14:paraId="79E11198" w14:textId="77777777" w:rsidR="00BF68AF" w:rsidRDefault="00BF68AF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7F57AA2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C246F73" w14:textId="77777777" w:rsidR="00985B44" w:rsidRPr="00BF68AF" w:rsidRDefault="00985B44" w:rsidP="00985B44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BF68AF">
        <w:rPr>
          <w:rFonts w:ascii="Calibri" w:hAnsi="Calibri" w:cs="Calibri"/>
          <w:b/>
          <w:bCs/>
          <w:sz w:val="22"/>
          <w:szCs w:val="22"/>
        </w:rPr>
        <w:t xml:space="preserve">2. What Is the Territorial Scope of the IPDPR? </w:t>
      </w:r>
    </w:p>
    <w:p w14:paraId="3CD452E3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The IPDPR, including the PDP Law, applies both to entities that are established, operating in, or residing </w:t>
      </w:r>
    </w:p>
    <w:p w14:paraId="387CAC93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within the jurisdiction of Indonesia, as well as offshore entities that conduct actions (described as legal </w:t>
      </w:r>
    </w:p>
    <w:p w14:paraId="21F562A3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actions that have legal consequences) inside the territorial jurisdiction of Indonesia or toward Indonesian </w:t>
      </w:r>
    </w:p>
    <w:p w14:paraId="5DD5DBE2" w14:textId="77777777" w:rsid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citizens, regardless of where they reside.</w:t>
      </w:r>
    </w:p>
    <w:p w14:paraId="7DD36826" w14:textId="77777777" w:rsidR="00BF68AF" w:rsidRPr="00985B44" w:rsidRDefault="00BF68AF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06150AE" w14:textId="77777777" w:rsidR="00985B44" w:rsidRPr="00BF68AF" w:rsidRDefault="00985B44" w:rsidP="00985B44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BF68AF">
        <w:rPr>
          <w:rFonts w:ascii="Calibri" w:hAnsi="Calibri" w:cs="Calibri"/>
          <w:b/>
          <w:bCs/>
          <w:sz w:val="22"/>
          <w:szCs w:val="22"/>
        </w:rPr>
        <w:t xml:space="preserve">3. What Does It Mean to Process Personal Data? </w:t>
      </w:r>
    </w:p>
    <w:p w14:paraId="043F9809" w14:textId="0E6FCE95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Personal Data means information that identifies or may reasonably identify an individual either on its own </w:t>
      </w:r>
      <w:r w:rsidR="00BF68A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 xml:space="preserve">or when combined with other data, whether directly or indirectly, through electronic or non-electronic </w:t>
      </w:r>
      <w:r w:rsidR="00BF68A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>systems. Processing Personal Data refers to the (i) collection, (ii) processing and analyzing, (iii) storage, (iv)</w:t>
      </w:r>
      <w:r w:rsidR="00BF68A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lastRenderedPageBreak/>
        <w:t xml:space="preserve">improvement and update, (v) display, announcement, transfer dissemination and disclosure, and (vi) </w:t>
      </w:r>
      <w:r w:rsidR="00BF68A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>deletion and destruction of Personal Data.</w:t>
      </w:r>
    </w:p>
    <w:p w14:paraId="19B20338" w14:textId="77777777" w:rsidR="00BF68AF" w:rsidRDefault="00BF68AF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6B839BC" w14:textId="11E8592E" w:rsidR="00985B44" w:rsidRPr="00BF68AF" w:rsidRDefault="00985B44" w:rsidP="00985B44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BF68AF">
        <w:rPr>
          <w:rFonts w:ascii="Calibri" w:hAnsi="Calibri" w:cs="Calibri"/>
          <w:b/>
          <w:bCs/>
          <w:sz w:val="22"/>
          <w:szCs w:val="22"/>
        </w:rPr>
        <w:t>4. What is The Difference Between Data Controller and Data Processor?</w:t>
      </w:r>
    </w:p>
    <w:p w14:paraId="2227E40E" w14:textId="37FE7717" w:rsid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The PDP Law defines Data Controllers and Data Processors similar to the GDPR. Data Controllers determine the purposes and exercises control over the processing of Personal Data, whereas Data</w:t>
      </w:r>
      <w:r w:rsidR="00BF68A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>Processors process Personal Data on behalf of Data Controllers. While the PDP Law places obligations on</w:t>
      </w:r>
      <w:r w:rsidR="00BF68A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>both processing roles, the majority of the Law’s obligations pertain to Data Controllers.</w:t>
      </w:r>
      <w:r w:rsidR="00BF68A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>An entity can be a Data Controller with respect to the Personal Data it processes, while also being considered a Data</w:t>
      </w:r>
      <w:r w:rsidR="00BF68A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 xml:space="preserve">Processor with respect to the Personal Data that it processes on behalf of another organization. An entity can also be a Data Processor with respect to Personal Data that it processes on behalf of another organization if the processing entity determines the purposes and means for processing such Personal Data. </w:t>
      </w:r>
    </w:p>
    <w:p w14:paraId="1A84EFFF" w14:textId="77777777" w:rsidR="00BF68AF" w:rsidRPr="00985B44" w:rsidRDefault="00BF68AF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F64AE45" w14:textId="77777777" w:rsidR="00985B44" w:rsidRPr="00190085" w:rsidRDefault="00985B44" w:rsidP="00985B44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190085">
        <w:rPr>
          <w:rFonts w:ascii="Calibri" w:hAnsi="Calibri" w:cs="Calibri"/>
          <w:b/>
          <w:bCs/>
          <w:sz w:val="22"/>
          <w:szCs w:val="22"/>
        </w:rPr>
        <w:t xml:space="preserve">5. What Rights Do Individuals Have under the IDPR and How Will Autodesk Support these Rights? </w:t>
      </w:r>
    </w:p>
    <w:p w14:paraId="047E8E52" w14:textId="1404B3B1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The IDPR provides individuals with certain rights in relation to their personal information, such as the right </w:t>
      </w:r>
    </w:p>
    <w:p w14:paraId="0626A002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to request:</w:t>
      </w:r>
    </w:p>
    <w:p w14:paraId="59B47E66" w14:textId="5A298DBE" w:rsidR="00985B44" w:rsidRPr="00190085" w:rsidRDefault="00985B44" w:rsidP="00190085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0085">
        <w:rPr>
          <w:rFonts w:ascii="Calibri" w:hAnsi="Calibri" w:cs="Calibri"/>
          <w:sz w:val="22"/>
          <w:szCs w:val="22"/>
        </w:rPr>
        <w:t xml:space="preserve">information about processing, including details about the Data Controller’s identity, the legal </w:t>
      </w:r>
      <w:r w:rsidR="00190085" w:rsidRPr="00190085">
        <w:rPr>
          <w:rFonts w:ascii="Calibri" w:hAnsi="Calibri" w:cs="Calibri"/>
          <w:sz w:val="22"/>
          <w:szCs w:val="22"/>
        </w:rPr>
        <w:t xml:space="preserve"> </w:t>
      </w:r>
      <w:r w:rsidRPr="00190085">
        <w:rPr>
          <w:rFonts w:ascii="Calibri" w:hAnsi="Calibri" w:cs="Calibri"/>
          <w:sz w:val="22"/>
          <w:szCs w:val="22"/>
        </w:rPr>
        <w:t xml:space="preserve">grounds for processing, the purpose of the request, and how the Personal Data will be used, </w:t>
      </w:r>
      <w:r w:rsidR="00190085" w:rsidRPr="00190085">
        <w:rPr>
          <w:rFonts w:ascii="Calibri" w:hAnsi="Calibri" w:cs="Calibri"/>
          <w:sz w:val="22"/>
          <w:szCs w:val="22"/>
        </w:rPr>
        <w:t xml:space="preserve"> </w:t>
      </w:r>
      <w:r w:rsidRPr="00190085">
        <w:rPr>
          <w:rFonts w:ascii="Calibri" w:hAnsi="Calibri" w:cs="Calibri"/>
          <w:sz w:val="22"/>
          <w:szCs w:val="22"/>
        </w:rPr>
        <w:t>ensuring accountability on the part of the Data Controller;</w:t>
      </w:r>
    </w:p>
    <w:p w14:paraId="5358A90D" w14:textId="2E21CBFF" w:rsidR="00985B44" w:rsidRPr="00190085" w:rsidRDefault="00985B44" w:rsidP="00190085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0085">
        <w:rPr>
          <w:rFonts w:ascii="Calibri" w:hAnsi="Calibri" w:cs="Calibri"/>
          <w:sz w:val="22"/>
          <w:szCs w:val="22"/>
        </w:rPr>
        <w:t xml:space="preserve">to complete, update, or amend any errors or inaccuracies in their Personal Data, aligning with the </w:t>
      </w:r>
      <w:r w:rsidR="00190085" w:rsidRPr="00190085">
        <w:rPr>
          <w:rFonts w:ascii="Calibri" w:hAnsi="Calibri" w:cs="Calibri"/>
          <w:sz w:val="22"/>
          <w:szCs w:val="22"/>
        </w:rPr>
        <w:t xml:space="preserve"> </w:t>
      </w:r>
      <w:r w:rsidRPr="00190085">
        <w:rPr>
          <w:rFonts w:ascii="Calibri" w:hAnsi="Calibri" w:cs="Calibri"/>
          <w:sz w:val="22"/>
          <w:szCs w:val="22"/>
        </w:rPr>
        <w:t>intended purpose of the data processing;</w:t>
      </w:r>
    </w:p>
    <w:p w14:paraId="20F512EA" w14:textId="4528EB78" w:rsidR="00985B44" w:rsidRPr="00190085" w:rsidRDefault="00985B44" w:rsidP="00190085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0085">
        <w:rPr>
          <w:rFonts w:ascii="Calibri" w:hAnsi="Calibri" w:cs="Calibri"/>
          <w:sz w:val="22"/>
          <w:szCs w:val="22"/>
        </w:rPr>
        <w:t xml:space="preserve">a copy of their Personal Data, in a format that aligns with commonly used formats and/or is </w:t>
      </w:r>
      <w:r w:rsidR="00190085" w:rsidRPr="00190085">
        <w:rPr>
          <w:rFonts w:ascii="Calibri" w:hAnsi="Calibri" w:cs="Calibri"/>
          <w:sz w:val="22"/>
          <w:szCs w:val="22"/>
        </w:rPr>
        <w:t xml:space="preserve"> </w:t>
      </w:r>
      <w:r w:rsidRPr="00190085">
        <w:rPr>
          <w:rFonts w:ascii="Calibri" w:hAnsi="Calibri" w:cs="Calibri"/>
          <w:sz w:val="22"/>
          <w:szCs w:val="22"/>
        </w:rPr>
        <w:t>readable by an electronic system;</w:t>
      </w:r>
    </w:p>
    <w:p w14:paraId="74E35BD1" w14:textId="1171A0FC" w:rsidR="00985B44" w:rsidRPr="00190085" w:rsidRDefault="00985B44" w:rsidP="00190085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0085">
        <w:rPr>
          <w:rFonts w:ascii="Calibri" w:hAnsi="Calibri" w:cs="Calibri"/>
          <w:sz w:val="22"/>
          <w:szCs w:val="22"/>
        </w:rPr>
        <w:t>that the Data Controller cease processing, delete, and/or destroy their Personal Data;</w:t>
      </w:r>
    </w:p>
    <w:p w14:paraId="514665B3" w14:textId="137B2B51" w:rsidR="00985B44" w:rsidRPr="00190085" w:rsidRDefault="00985B44" w:rsidP="00190085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0085">
        <w:rPr>
          <w:rFonts w:ascii="Calibri" w:hAnsi="Calibri" w:cs="Calibri"/>
          <w:sz w:val="22"/>
          <w:szCs w:val="22"/>
        </w:rPr>
        <w:t>that they withdraw their consent for the Data Controller to process their Personal Data;</w:t>
      </w:r>
    </w:p>
    <w:p w14:paraId="4BD1059D" w14:textId="0924982E" w:rsidR="00985B44" w:rsidRPr="00190085" w:rsidRDefault="00985B44" w:rsidP="00190085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0085">
        <w:rPr>
          <w:rFonts w:ascii="Calibri" w:hAnsi="Calibri" w:cs="Calibri"/>
          <w:sz w:val="22"/>
          <w:szCs w:val="22"/>
        </w:rPr>
        <w:t xml:space="preserve">to challenge the Data Controller’s decision-making processes that rely solely on automated </w:t>
      </w:r>
      <w:r w:rsidR="00190085">
        <w:rPr>
          <w:rFonts w:ascii="Calibri" w:hAnsi="Calibri" w:cs="Calibri"/>
          <w:sz w:val="22"/>
          <w:szCs w:val="22"/>
        </w:rPr>
        <w:t xml:space="preserve"> </w:t>
      </w:r>
      <w:r w:rsidRPr="00190085">
        <w:rPr>
          <w:rFonts w:ascii="Calibri" w:hAnsi="Calibri" w:cs="Calibri"/>
          <w:sz w:val="22"/>
          <w:szCs w:val="22"/>
        </w:rPr>
        <w:t>methods such as profiling, if these decisions have legal consequences or significantly affect the individuals; and</w:t>
      </w:r>
    </w:p>
    <w:p w14:paraId="70A6EDB7" w14:textId="02A6E301" w:rsidR="00985B44" w:rsidRDefault="00985B44" w:rsidP="00985B44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0085">
        <w:rPr>
          <w:rFonts w:ascii="Calibri" w:hAnsi="Calibri" w:cs="Calibri"/>
          <w:sz w:val="22"/>
          <w:szCs w:val="22"/>
        </w:rPr>
        <w:t xml:space="preserve">to use and transfer their Personal Data to another Data Controller, provided that the systems used can securely communicate with each other. </w:t>
      </w:r>
    </w:p>
    <w:p w14:paraId="1AFDF78A" w14:textId="77777777" w:rsidR="00190085" w:rsidRPr="00190085" w:rsidRDefault="00190085" w:rsidP="00190085">
      <w:pPr>
        <w:pStyle w:val="ListParagraph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EFA87C8" w14:textId="77777777" w:rsidR="00985B44" w:rsidRPr="00996FBF" w:rsidRDefault="00985B44" w:rsidP="00985B44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996FBF">
        <w:rPr>
          <w:rFonts w:ascii="Calibri" w:hAnsi="Calibri" w:cs="Calibri"/>
          <w:b/>
          <w:bCs/>
          <w:sz w:val="22"/>
          <w:szCs w:val="22"/>
        </w:rPr>
        <w:t xml:space="preserve">6. Does the IDPR Require Personal Data to Stay in Indonesia? </w:t>
      </w:r>
    </w:p>
    <w:p w14:paraId="7C37D8B2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The prevailing law and regulations as well as the PDP Law permits cross-border transfers of data from </w:t>
      </w:r>
    </w:p>
    <w:p w14:paraId="05812B17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Indonesia to other jurisdictions. </w:t>
      </w:r>
    </w:p>
    <w:p w14:paraId="51414F8C" w14:textId="77777777" w:rsidR="00996FBF" w:rsidRDefault="00996FBF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75EBFBC" w14:textId="3368A9A8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When transferring Personal Data outside of Indonesia, the PDP Law requires Data Controllers to take </w:t>
      </w:r>
    </w:p>
    <w:p w14:paraId="18EE79D9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appropriate steps to confirm that the jurisdiction of the recipient of the Personal Data provides at least </w:t>
      </w:r>
    </w:p>
    <w:p w14:paraId="404B7E80" w14:textId="608717B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equal or a higher level of protection of Personal Data than Indonesia. Otherwise, the recipient must </w:t>
      </w:r>
      <w:r w:rsidR="00996FB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 xml:space="preserve">provide equivalent protection via binding rules similar to binding corporate rules under the GDPR or the </w:t>
      </w:r>
      <w:r w:rsidR="00996FBF">
        <w:rPr>
          <w:rFonts w:ascii="Calibri" w:hAnsi="Calibri" w:cs="Calibri"/>
          <w:sz w:val="22"/>
          <w:szCs w:val="22"/>
        </w:rPr>
        <w:t xml:space="preserve"> </w:t>
      </w:r>
      <w:r w:rsidRPr="00985B44">
        <w:rPr>
          <w:rFonts w:ascii="Calibri" w:hAnsi="Calibri" w:cs="Calibri"/>
          <w:sz w:val="22"/>
          <w:szCs w:val="22"/>
        </w:rPr>
        <w:t>Data Subject must consent to the transfer.</w:t>
      </w:r>
    </w:p>
    <w:p w14:paraId="350243C9" w14:textId="77777777" w:rsidR="00996FBF" w:rsidRDefault="00996FBF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B40D48F" w14:textId="58BF1129" w:rsidR="00985B44" w:rsidRPr="00996FBF" w:rsidRDefault="00985B44" w:rsidP="00985B44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996FBF">
        <w:rPr>
          <w:rFonts w:ascii="Calibri" w:hAnsi="Calibri" w:cs="Calibri"/>
          <w:b/>
          <w:bCs/>
          <w:sz w:val="22"/>
          <w:szCs w:val="22"/>
        </w:rPr>
        <w:lastRenderedPageBreak/>
        <w:t xml:space="preserve">7. Does the IDPR Create Special Rules for Minors? </w:t>
      </w:r>
    </w:p>
    <w:p w14:paraId="7127468A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The PDP Law in particular requires that parents/legal guardians provide consent prior to the processing </w:t>
      </w:r>
    </w:p>
    <w:p w14:paraId="0ACA1F1C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of the Personal Data of minors. The Law also requires such data be processed in a “special” manner but </w:t>
      </w:r>
    </w:p>
    <w:p w14:paraId="07183C22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does not further elaborate on what this means in practice. Currently, the PDP Law does not provide an age </w:t>
      </w:r>
    </w:p>
    <w:p w14:paraId="47C7985A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threshold for minors; however, other Indonesian laws define a minor as a person under the age of 18.</w:t>
      </w:r>
    </w:p>
    <w:p w14:paraId="7AED7EEE" w14:textId="77777777" w:rsidR="00274DEE" w:rsidRDefault="00274DEE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F2C90C8" w14:textId="6DFF6C60" w:rsidR="00985B44" w:rsidRPr="00274DEE" w:rsidRDefault="00985B44" w:rsidP="00985B44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4DEE">
        <w:rPr>
          <w:rFonts w:ascii="Calibri" w:hAnsi="Calibri" w:cs="Calibri"/>
          <w:b/>
          <w:bCs/>
          <w:sz w:val="22"/>
          <w:szCs w:val="22"/>
        </w:rPr>
        <w:t xml:space="preserve">8. How Will Autodesk Demonstrate Compliance with the PDP Law? </w:t>
      </w:r>
    </w:p>
    <w:p w14:paraId="7BBB2B8F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We are committed to practicing transparency in how we handle personal information. We conduct </w:t>
      </w:r>
    </w:p>
    <w:p w14:paraId="56830429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internal assessments to maintain our obligations under the PDP Law. For additional information, please </w:t>
      </w:r>
    </w:p>
    <w:p w14:paraId="7B43726E" w14:textId="77777777" w:rsidR="00985B44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 xml:space="preserve">visit our Trust Center. You can find our updated Privacy Statement here and contact our Data Protection </w:t>
      </w:r>
    </w:p>
    <w:p w14:paraId="2994EC72" w14:textId="6589E87C" w:rsidR="00D172C8" w:rsidRPr="00985B44" w:rsidRDefault="00985B44" w:rsidP="00985B44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985B44">
        <w:rPr>
          <w:rFonts w:ascii="Calibri" w:hAnsi="Calibri" w:cs="Calibri"/>
          <w:sz w:val="22"/>
          <w:szCs w:val="22"/>
        </w:rPr>
        <w:t>Officer by emailing DPO@Autodesk.com.</w:t>
      </w:r>
    </w:p>
    <w:sectPr w:rsidR="00D172C8" w:rsidRPr="00985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8B1"/>
    <w:multiLevelType w:val="hybridMultilevel"/>
    <w:tmpl w:val="617C64C0"/>
    <w:lvl w:ilvl="0" w:tplc="37BA37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E16"/>
    <w:multiLevelType w:val="hybridMultilevel"/>
    <w:tmpl w:val="8DF202DA"/>
    <w:lvl w:ilvl="0" w:tplc="37BA37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143DE"/>
    <w:multiLevelType w:val="hybridMultilevel"/>
    <w:tmpl w:val="B922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73839">
    <w:abstractNumId w:val="2"/>
  </w:num>
  <w:num w:numId="2" w16cid:durableId="1556622455">
    <w:abstractNumId w:val="1"/>
  </w:num>
  <w:num w:numId="3" w16cid:durableId="27652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44"/>
    <w:rsid w:val="00170E2D"/>
    <w:rsid w:val="00190085"/>
    <w:rsid w:val="00212950"/>
    <w:rsid w:val="00274DEE"/>
    <w:rsid w:val="003D1167"/>
    <w:rsid w:val="003F581B"/>
    <w:rsid w:val="004A26C9"/>
    <w:rsid w:val="004F485B"/>
    <w:rsid w:val="005C2821"/>
    <w:rsid w:val="0063008F"/>
    <w:rsid w:val="00985B44"/>
    <w:rsid w:val="00996FBF"/>
    <w:rsid w:val="00B8131D"/>
    <w:rsid w:val="00BF68AF"/>
    <w:rsid w:val="00D172C8"/>
    <w:rsid w:val="00F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05C4"/>
  <w15:chartTrackingRefBased/>
  <w15:docId w15:val="{FB6F411D-90D3-4500-AD31-55DB01E1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B4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85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B583-A8BE-4F1C-8CE5-981EFB91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Ammal Hassannuddin</dc:creator>
  <cp:keywords/>
  <dc:description/>
  <cp:lastModifiedBy>Nur Ammal Hassannuddin</cp:lastModifiedBy>
  <cp:revision>4</cp:revision>
  <dcterms:created xsi:type="dcterms:W3CDTF">2024-11-27T08:28:00Z</dcterms:created>
  <dcterms:modified xsi:type="dcterms:W3CDTF">2024-11-27T09:36:00Z</dcterms:modified>
</cp:coreProperties>
</file>